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57" w:x="4486" w:y="183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ff0000"/>
          <w:spacing w:val="0"/>
          <w:sz w:val="54"/>
        </w:rPr>
        <w:t>物业服务费物业公共服务费及收费标准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4844" w:x="3151" w:y="33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一、什么是物业服务费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41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物业服务费</w:t>
      </w:r>
      <w:r>
        <w:rPr>
          <w:rFonts w:ascii="Times New Roman"/>
          <w:color w:val="ab1842"/>
          <w:spacing w:val="-4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，是指物业服务企业按照物业服务合同对物业管理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4122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区域内的建筑物、构建物及配套的设施设备和相关场地进行维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412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修、养护、管理，维护环境卫生和相关秩序，向业主或物业使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412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用人收取的费用。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71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二、物业服务费的组成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98" w:x="3151" w:y="78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物业服务费</w:t>
      </w:r>
      <w:r>
        <w:rPr>
          <w:rFonts w:ascii="Times New Roman"/>
          <w:color w:val="ab1842"/>
          <w:spacing w:val="-4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包括</w:t>
      </w:r>
      <w:r>
        <w:rPr>
          <w:rFonts w:ascii="FangSong" w:hAnsi="FangSong" w:cs="FangSong"/>
          <w:color w:val="ab1842"/>
          <w:spacing w:val="1"/>
          <w:sz w:val="42"/>
        </w:rPr>
        <w:t>物业公共服务费、汽车停放费和其他服务费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98" w:x="3151" w:y="7874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6"/>
          <w:sz w:val="42"/>
        </w:rPr>
        <w:t>用</w:t>
      </w:r>
      <w:r>
        <w:rPr>
          <w:rFonts w:ascii="FangSong" w:hAnsi="FangSong" w:cs="FangSong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物业公共服务费</w:t>
      </w:r>
      <w:r>
        <w:rPr>
          <w:rFonts w:ascii="Times New Roman"/>
          <w:color w:val="ab1842"/>
          <w:spacing w:val="-14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是指物业服务企业按照物业服务合同约定，在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物业管理区域内为业主或者物业使用人提供具有公共性和普遍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性的物业基本服务收取的费用。按照房屋建筑面积计收，可采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取包干制或酬金制等形式，具体收费方式以物业合同约定。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汽车停放费</w:t>
      </w:r>
      <w:r>
        <w:rPr>
          <w:rFonts w:ascii="Times New Roman"/>
          <w:color w:val="ab1842"/>
          <w:spacing w:val="-4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是指物业管理区域内用于车位、车库的公共设施设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备运行的能耗及维护、保洁、秩序维护、管理服务人员费用以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及法定税费等费用。一般包括车位租赁费、停车服务费以及车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83" w:x="3151" w:y="93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位场地使用费三个部分。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153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其他服务费</w:t>
      </w:r>
      <w:r>
        <w:rPr>
          <w:rFonts w:ascii="Times New Roman"/>
          <w:color w:val="ab1842"/>
          <w:spacing w:val="-4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是指物业服务企业向业主、物业使用人提供其他服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15374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务并收取的费用，以及涉及物业服务企业和业主或物业使用人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3" w:x="3151" w:y="15374"/>
        <w:widowControl w:val="off"/>
        <w:autoSpaceDE w:val="off"/>
        <w:autoSpaceDN w:val="off"/>
        <w:spacing w:before="3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的其他费用。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176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三、物业服务费的标准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49" w:x="3151" w:y="183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普通</w:t>
      </w:r>
      <w:r>
        <w:rPr>
          <w:rFonts w:ascii="FangSong" w:hAnsi="FangSong" w:cs="FangSong"/>
          <w:color w:val="000000"/>
          <w:spacing w:val="10"/>
          <w:sz w:val="42"/>
        </w:rPr>
        <w:t>住宅</w:t>
      </w:r>
      <w:r>
        <w:rPr>
          <w:rFonts w:ascii="FangSong" w:hAnsi="FangSong" w:cs="FangSong"/>
          <w:color w:val="ab1842"/>
          <w:spacing w:val="1"/>
          <w:sz w:val="42"/>
        </w:rPr>
        <w:t>前期</w:t>
      </w:r>
      <w:r>
        <w:rPr>
          <w:rFonts w:ascii="FangSong" w:hAnsi="FangSong" w:cs="FangSong"/>
          <w:color w:val="000000"/>
          <w:spacing w:val="4"/>
          <w:sz w:val="42"/>
        </w:rPr>
        <w:t>物业公共服务费</w:t>
      </w:r>
      <w:r>
        <w:rPr>
          <w:rFonts w:ascii="Times New Roman"/>
          <w:color w:val="000000"/>
          <w:spacing w:val="-43"/>
          <w:sz w:val="42"/>
        </w:rPr>
        <w:t xml:space="preserve"> </w:t>
      </w:r>
      <w:r>
        <w:rPr>
          <w:rFonts w:ascii="FangSong" w:hAnsi="FangSong" w:cs="FangSong"/>
          <w:color w:val="000000"/>
          <w:spacing w:val="3"/>
          <w:sz w:val="42"/>
        </w:rPr>
        <w:t>、汽车停放费</w:t>
      </w:r>
      <w:r>
        <w:rPr>
          <w:rFonts w:ascii="Times New Roman"/>
          <w:color w:val="000000"/>
          <w:spacing w:val="-45"/>
          <w:sz w:val="42"/>
        </w:rPr>
        <w:t xml:space="preserve"> </w:t>
      </w:r>
      <w:r>
        <w:rPr>
          <w:rFonts w:ascii="FangSong" w:hAnsi="FangSong" w:cs="FangSong"/>
          <w:color w:val="ab1842"/>
          <w:spacing w:val="1"/>
          <w:sz w:val="42"/>
        </w:rPr>
        <w:t>实行政府指导价</w:t>
      </w:r>
      <w:r>
        <w:rPr>
          <w:rFonts w:ascii="Times New Roman"/>
          <w:color w:val="ab1842"/>
          <w:spacing w:val="-14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49" w:x="3151" w:y="18377"/>
        <w:widowControl w:val="off"/>
        <w:autoSpaceDE w:val="off"/>
        <w:autoSpaceDN w:val="off"/>
        <w:spacing w:before="328" w:after="0" w:line="421" w:lineRule="exact"/>
        <w:ind w:left="83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以南京市为例住宅区域停车设施收费政府指导价标准：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399" w:y="200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车位类型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7850" w:y="200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汽车停放费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2343" w:y="200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车位租金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54pt;margin-top:143pt;z-index:-3;width:61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156pt;margin-top:983pt;z-index:-7;width:677pt;height:56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04" w:x="7850" w:y="215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2"/>
          <w:sz w:val="42"/>
        </w:rPr>
        <w:t>元/月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7850" w:y="2157"/>
        <w:widowControl w:val="off"/>
        <w:autoSpaceDE w:val="off"/>
        <w:autoSpaceDN w:val="off"/>
        <w:spacing w:before="57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1"/>
          <w:sz w:val="42"/>
        </w:rPr>
        <w:t>100-180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7850" w:y="2157"/>
        <w:widowControl w:val="off"/>
        <w:autoSpaceDE w:val="off"/>
        <w:autoSpaceDN w:val="off"/>
        <w:spacing w:before="57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1"/>
          <w:sz w:val="42"/>
        </w:rPr>
        <w:t>50-80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399" w:y="31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露天车位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399" w:y="3150"/>
        <w:widowControl w:val="off"/>
        <w:autoSpaceDE w:val="off"/>
        <w:autoSpaceDN w:val="off"/>
        <w:spacing w:before="57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室内车位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399" w:y="3150"/>
        <w:widowControl w:val="off"/>
        <w:autoSpaceDE w:val="off"/>
        <w:autoSpaceDN w:val="off"/>
        <w:spacing w:before="57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机械车位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83" w:x="12343" w:y="4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≤270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83" w:x="12343" w:y="4144"/>
        <w:widowControl w:val="off"/>
        <w:autoSpaceDE w:val="off"/>
        <w:autoSpaceDN w:val="off"/>
        <w:spacing w:before="57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≤270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83" w:x="7850" w:y="51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≤130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3982" w:y="60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以南京市为例住宅区域临时停车收费政府指导价标准：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76" w:x="7986" w:y="792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临时停车计次时间为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1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小时以上</w:t>
      </w:r>
      <w:r>
        <w:rPr>
          <w:rFonts w:ascii="Times New Roman"/>
          <w:color w:val="000000"/>
          <w:spacing w:val="47"/>
          <w:sz w:val="42"/>
        </w:rPr>
        <w:t xml:space="preserve"> </w:t>
      </w:r>
      <w:r>
        <w:rPr>
          <w:rFonts w:ascii="FangSong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25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小时以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76" w:x="7986" w:y="7921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399" w:y="9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临时车位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7986" w:y="9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5" w:x="3151" w:y="113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业主大会成立后</w:t>
      </w:r>
      <w:r>
        <w:rPr>
          <w:rFonts w:ascii="Times New Roman"/>
          <w:color w:val="ab1842"/>
          <w:spacing w:val="-14"/>
          <w:sz w:val="42"/>
        </w:rPr>
        <w:t xml:space="preserve"> </w:t>
      </w:r>
      <w:r>
        <w:rPr>
          <w:rFonts w:ascii="FangSong" w:hAnsi="FangSong" w:cs="FangSong"/>
          <w:color w:val="000000"/>
          <w:spacing w:val="2"/>
          <w:sz w:val="42"/>
        </w:rPr>
        <w:t>,普通住宅物业公共服务费、汽车停放费由业主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5" w:x="3151" w:y="11309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大会或者业主大会授权的业主委员会与物业服务企业协商，通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5" w:x="3151" w:y="1130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过物业服务</w:t>
      </w:r>
      <w:r>
        <w:rPr>
          <w:rFonts w:ascii="FangSong" w:hAnsi="FangSong" w:cs="FangSong"/>
          <w:color w:val="ab1842"/>
          <w:spacing w:val="1"/>
          <w:sz w:val="42"/>
        </w:rPr>
        <w:t>合同约定</w:t>
      </w:r>
      <w:r>
        <w:rPr>
          <w:rFonts w:ascii="FangSong" w:hAnsi="FangSong" w:cs="FangSong"/>
          <w:color w:val="000000"/>
          <w:spacing w:val="1"/>
          <w:sz w:val="42"/>
        </w:rPr>
        <w:t>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1355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四、物业服务费的公示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49" w:x="3151" w:y="1431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物业服务企业应当执行明码标价规定，在物业管理区域内的显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49" w:x="3151" w:y="1431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著位置</w:t>
      </w:r>
      <w:r>
        <w:rPr>
          <w:rFonts w:ascii="FangSong" w:hAnsi="FangSong" w:cs="FangSong"/>
          <w:color w:val="ab1842"/>
          <w:spacing w:val="1"/>
          <w:sz w:val="42"/>
        </w:rPr>
        <w:t>公示</w:t>
      </w:r>
      <w:r>
        <w:rPr>
          <w:rFonts w:ascii="FangSong" w:hAnsi="FangSong" w:cs="FangSong"/>
          <w:color w:val="000000"/>
          <w:spacing w:val="1"/>
          <w:sz w:val="42"/>
        </w:rPr>
        <w:t>物业服务企业名称、服务内容、服务等级、收费项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49" w:x="3151" w:y="1431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目、收费标准、收费方式以及收费依据、举报投诉电话等有关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49" w:x="3151" w:y="14312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情况，自觉接受业主、物业使用人的监督，不得向业主、物业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49" w:x="3151" w:y="14312"/>
        <w:widowControl w:val="off"/>
        <w:autoSpaceDE w:val="off"/>
        <w:autoSpaceDN w:val="off"/>
        <w:spacing w:before="3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使用人收取任何未予标明的费用。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224" w:x="3151" w:y="180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物业服务企业应当按照物业服务合同的约定定期在物业管理区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224" w:x="3151" w:y="18060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域内的显著位置分别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FangSong" w:hAnsi="FangSong" w:cs="FangSong"/>
          <w:color w:val="ab1842"/>
          <w:spacing w:val="1"/>
          <w:sz w:val="42"/>
        </w:rPr>
        <w:t>公示</w:t>
      </w:r>
      <w:r>
        <w:rPr>
          <w:rFonts w:ascii="FangSong" w:hAnsi="FangSong" w:cs="FangSong"/>
          <w:color w:val="000000"/>
          <w:spacing w:val="1"/>
          <w:sz w:val="42"/>
        </w:rPr>
        <w:t>物业公共服务费、汽车停放费和经营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224" w:x="3151" w:y="1806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公共设施收益收支情况，以及公共水电费分摊等情况，接受业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224" w:x="3151" w:y="18060"/>
        <w:widowControl w:val="off"/>
        <w:autoSpaceDE w:val="off"/>
        <w:autoSpaceDN w:val="off"/>
        <w:spacing w:before="32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主和社会监督。（汽车停放费应当单独列账，独立核算）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56pt;margin-top:91pt;z-index:-11;width:677pt;height:20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156pt;margin-top:329pt;z-index:-15;width:677pt;height:19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44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五、物业服务费的调价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如果现有的普通住宅需要调整物业服务收费，需要由业主共同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决定。以南京市为例，业主大会成立前，按照《南京市住宅物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业管理条例》第三十九条规定履行下列程序，即：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1.物业服务企业委托会计师事务所对上一年度物业项目经营情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况进行审计，审计报告在物业管理区域内显著位置公示三十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278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7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2.物业服务企业将拟调整的收费标准、服务内容和服务标准在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728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物业管理区域内显著位置公示三十日，并书面告知街道办事处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728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（镇人民政府）、社区居（村）民委员会、区价格和物业管理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728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行政主管部门；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102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3.调价方案依照《中华人民共和国民法典》有关规定经业主表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决通过，表决结果应当在物业管理区域内显著位置公示，公示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时间不得少于七日。业主大会成立后，由业主大会或者业主大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10290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会授权的业主委员会与物业服务企业协商，通过物业服务合同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03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约定执行。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14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六、物业服务费的预收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78" w:x="3151" w:y="147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物业服务企业可以根据物业服务合同预收物业费，但是</w:t>
      </w:r>
      <w:r>
        <w:rPr>
          <w:rFonts w:ascii="Times New Roman"/>
          <w:color w:val="000000"/>
          <w:spacing w:val="156"/>
          <w:sz w:val="42"/>
        </w:rPr>
        <w:t xml:space="preserve"> </w:t>
      </w:r>
      <w:r>
        <w:rPr>
          <w:rFonts w:ascii="FangSong" w:hAnsi="FangSong" w:cs="FangSong"/>
          <w:color w:val="ab1842"/>
          <w:spacing w:val="1"/>
          <w:sz w:val="42"/>
        </w:rPr>
        <w:t>预收物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78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ab1842"/>
          <w:spacing w:val="1"/>
          <w:sz w:val="42"/>
        </w:rPr>
        <w:t>业费的期限最长不得超过一年</w:t>
      </w:r>
      <w:r>
        <w:rPr>
          <w:rFonts w:ascii="Times New Roman"/>
          <w:color w:val="ab1842"/>
          <w:spacing w:val="62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16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七、空置房屋收费问题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70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普通住宅小区已经依法通过协议、合同等形式约定的物业服务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704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收费等事项，与国家、省、市规定政策不冲突的，继续按原约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704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定执行。如果合同中约定了房屋或车位空置优惠政策，物业服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7042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务企业需要继续履行。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styles" Target="styles.xml" /><Relationship Id="rId6" Type="http://schemas.openxmlformats.org/officeDocument/2006/relationships/fontTable" Target="fontTable.xml" /><Relationship Id="rId7" Type="http://schemas.openxmlformats.org/officeDocument/2006/relationships/settings" Target="settings.xml" /><Relationship Id="rId8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103</Words>
  <Characters>1378</Characters>
  <Application>Aspose</Application>
  <DocSecurity>0</DocSecurity>
  <Lines>77</Lines>
  <Paragraphs>77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1394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2023-02-16T14:21:40+08:00</dcterms:created>
  <dcterms:modified xmlns:xsi="http://www.w3.org/2001/XMLSchema-instance" xmlns:dcterms="http://purl.org/dc/terms/" xsi:type="dcterms:W3CDTF">2023-02-16T14:21:40+08:00</dcterms:modified>
</coreProperties>
</file>